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681" w:rsidRDefault="00B00681" w:rsidP="00B00681">
      <w:pPr>
        <w:spacing w:line="480" w:lineRule="auto"/>
        <w:jc w:val="center"/>
        <w:rPr>
          <w:rFonts w:cs="Times New Roman"/>
          <w:szCs w:val="24"/>
        </w:rPr>
      </w:pPr>
    </w:p>
    <w:p w:rsidR="00B00681" w:rsidRDefault="00B00681" w:rsidP="00B00681">
      <w:pPr>
        <w:spacing w:line="480" w:lineRule="auto"/>
        <w:jc w:val="center"/>
        <w:rPr>
          <w:rFonts w:cs="Times New Roman"/>
          <w:szCs w:val="24"/>
        </w:rPr>
      </w:pPr>
    </w:p>
    <w:p w:rsidR="00B00681" w:rsidRDefault="00B00681" w:rsidP="00B00681">
      <w:pPr>
        <w:spacing w:line="480" w:lineRule="auto"/>
        <w:jc w:val="center"/>
        <w:rPr>
          <w:rFonts w:cs="Times New Roman"/>
          <w:szCs w:val="24"/>
        </w:rPr>
      </w:pPr>
    </w:p>
    <w:p w:rsidR="00B00681" w:rsidRDefault="00B00681" w:rsidP="00B00681">
      <w:pPr>
        <w:spacing w:line="480" w:lineRule="auto"/>
        <w:jc w:val="center"/>
        <w:rPr>
          <w:rFonts w:cs="Times New Roman"/>
          <w:szCs w:val="24"/>
        </w:rPr>
      </w:pPr>
    </w:p>
    <w:p w:rsidR="00B00681" w:rsidRDefault="00B00681" w:rsidP="00B00681">
      <w:pPr>
        <w:spacing w:line="480" w:lineRule="auto"/>
        <w:jc w:val="center"/>
        <w:rPr>
          <w:rFonts w:cs="Times New Roman"/>
          <w:szCs w:val="24"/>
        </w:rPr>
      </w:pPr>
    </w:p>
    <w:p w:rsidR="00B00681" w:rsidRDefault="00B00681" w:rsidP="00B00681">
      <w:pPr>
        <w:spacing w:line="480" w:lineRule="auto"/>
        <w:jc w:val="center"/>
        <w:rPr>
          <w:rFonts w:cs="Times New Roman"/>
          <w:szCs w:val="24"/>
        </w:rPr>
      </w:pPr>
      <w:r>
        <w:rPr>
          <w:rFonts w:cs="Times New Roman"/>
          <w:szCs w:val="24"/>
        </w:rPr>
        <w:t>International Communication</w:t>
      </w:r>
    </w:p>
    <w:p w:rsidR="00B00681" w:rsidRDefault="00B00681" w:rsidP="00B00681">
      <w:pPr>
        <w:spacing w:line="480" w:lineRule="auto"/>
        <w:jc w:val="center"/>
        <w:rPr>
          <w:rFonts w:cs="Times New Roman"/>
          <w:szCs w:val="24"/>
        </w:rPr>
      </w:pPr>
      <w:r>
        <w:rPr>
          <w:rFonts w:cs="Times New Roman"/>
          <w:szCs w:val="24"/>
        </w:rPr>
        <w:t>Name</w:t>
      </w:r>
    </w:p>
    <w:p w:rsidR="00B00681" w:rsidRDefault="00B00681" w:rsidP="00B00681">
      <w:pPr>
        <w:spacing w:line="480" w:lineRule="auto"/>
        <w:jc w:val="center"/>
        <w:rPr>
          <w:rFonts w:cs="Times New Roman"/>
          <w:szCs w:val="24"/>
        </w:rPr>
      </w:pPr>
      <w:r>
        <w:rPr>
          <w:rFonts w:cs="Times New Roman"/>
          <w:szCs w:val="24"/>
        </w:rPr>
        <w:t>Institution of Affiliation</w:t>
      </w:r>
    </w:p>
    <w:p w:rsidR="00B00681" w:rsidRDefault="00B00681" w:rsidP="00B00681">
      <w:pPr>
        <w:spacing w:line="480" w:lineRule="auto"/>
        <w:jc w:val="center"/>
        <w:rPr>
          <w:rFonts w:cs="Times New Roman"/>
          <w:szCs w:val="24"/>
        </w:rPr>
      </w:pPr>
      <w:r>
        <w:rPr>
          <w:rFonts w:cs="Times New Roman"/>
          <w:szCs w:val="24"/>
        </w:rPr>
        <w:t>Professor</w:t>
      </w:r>
    </w:p>
    <w:p w:rsidR="00B00681" w:rsidRDefault="00B00681" w:rsidP="00B00681">
      <w:pPr>
        <w:spacing w:line="480" w:lineRule="auto"/>
        <w:jc w:val="center"/>
        <w:rPr>
          <w:rFonts w:cs="Times New Roman"/>
          <w:szCs w:val="24"/>
        </w:rPr>
      </w:pPr>
      <w:r>
        <w:rPr>
          <w:rFonts w:cs="Times New Roman"/>
          <w:szCs w:val="24"/>
        </w:rPr>
        <w:t>Date</w:t>
      </w:r>
    </w:p>
    <w:p w:rsidR="00B00681" w:rsidRDefault="00B00681" w:rsidP="00B00681">
      <w:pPr>
        <w:spacing w:line="480" w:lineRule="auto"/>
        <w:jc w:val="center"/>
        <w:rPr>
          <w:rFonts w:cs="Times New Roman"/>
          <w:szCs w:val="24"/>
        </w:rPr>
      </w:pPr>
    </w:p>
    <w:p w:rsidR="00B00681" w:rsidRDefault="00B00681">
      <w:pPr>
        <w:rPr>
          <w:rFonts w:cs="Times New Roman"/>
          <w:szCs w:val="24"/>
        </w:rPr>
      </w:pPr>
      <w:r>
        <w:rPr>
          <w:rFonts w:cs="Times New Roman"/>
          <w:szCs w:val="24"/>
        </w:rPr>
        <w:br w:type="page"/>
      </w:r>
    </w:p>
    <w:p w:rsidR="00CA6DC9" w:rsidRDefault="00CA6DC9" w:rsidP="00B00681">
      <w:pPr>
        <w:spacing w:line="480" w:lineRule="auto"/>
        <w:jc w:val="center"/>
        <w:rPr>
          <w:rFonts w:cs="Times New Roman"/>
          <w:szCs w:val="24"/>
        </w:rPr>
      </w:pPr>
      <w:r>
        <w:rPr>
          <w:rFonts w:cs="Times New Roman"/>
          <w:szCs w:val="24"/>
        </w:rPr>
        <w:lastRenderedPageBreak/>
        <w:t>International Communication</w:t>
      </w:r>
    </w:p>
    <w:p w:rsidR="00B00681" w:rsidRPr="00CA6DC9" w:rsidRDefault="00C62511" w:rsidP="00B00681">
      <w:pPr>
        <w:spacing w:line="480" w:lineRule="auto"/>
        <w:jc w:val="center"/>
        <w:rPr>
          <w:rFonts w:cs="Times New Roman"/>
          <w:b/>
          <w:szCs w:val="24"/>
        </w:rPr>
      </w:pPr>
      <w:r w:rsidRPr="00CA6DC9">
        <w:rPr>
          <w:rFonts w:cs="Times New Roman"/>
          <w:b/>
          <w:szCs w:val="24"/>
        </w:rPr>
        <w:t>1</w:t>
      </w:r>
    </w:p>
    <w:p w:rsidR="00B00681" w:rsidRPr="00B00681" w:rsidRDefault="00B00681" w:rsidP="00CA6DC9">
      <w:pPr>
        <w:spacing w:line="480" w:lineRule="auto"/>
        <w:ind w:firstLine="720"/>
        <w:rPr>
          <w:rFonts w:cs="Times New Roman"/>
          <w:szCs w:val="24"/>
        </w:rPr>
      </w:pPr>
      <w:r w:rsidRPr="00B00681">
        <w:rPr>
          <w:rFonts w:cs="Times New Roman"/>
          <w:szCs w:val="24"/>
        </w:rPr>
        <w:t>According to Stevenson (1992), international communi</w:t>
      </w:r>
      <w:r w:rsidR="00CA6DC9">
        <w:rPr>
          <w:rFonts w:cs="Times New Roman"/>
          <w:szCs w:val="24"/>
        </w:rPr>
        <w:t>cation in the field study,</w:t>
      </w:r>
      <w:r w:rsidRPr="00B00681">
        <w:rPr>
          <w:rFonts w:cs="Times New Roman"/>
          <w:szCs w:val="24"/>
        </w:rPr>
        <w:t xml:space="preserve"> is the branch of communication that involves the interaction of people to people, business to business, and government to the government on the global level. Technically, the term is difficult to define as it does not have its specific professionalism. The scope of international communication is extensive and thus overlaps with other subjects. It is more of the topic field rather than the discipline </w:t>
      </w:r>
      <w:proofErr w:type="gramStart"/>
      <w:r w:rsidRPr="00B00681">
        <w:rPr>
          <w:rFonts w:cs="Times New Roman"/>
          <w:szCs w:val="24"/>
        </w:rPr>
        <w:t>field as its studies are</w:t>
      </w:r>
      <w:proofErr w:type="gramEnd"/>
      <w:r w:rsidRPr="00B00681">
        <w:rPr>
          <w:rFonts w:cs="Times New Roman"/>
          <w:szCs w:val="24"/>
        </w:rPr>
        <w:t xml:space="preserve"> more of an inquiry organization. That is communication that is conducted over the borders. Globalization influences the development and growth of international communication through global markers. In today's education, international communication is being taught in colleges and universities. International communication is involved with concerns of social, cultural, military, political aspect all over the world.</w:t>
      </w:r>
    </w:p>
    <w:p w:rsidR="00B00681" w:rsidRPr="00CA6DC9" w:rsidRDefault="00B00681" w:rsidP="00B00681">
      <w:pPr>
        <w:spacing w:line="480" w:lineRule="auto"/>
        <w:jc w:val="center"/>
        <w:rPr>
          <w:rFonts w:cs="Times New Roman"/>
          <w:b/>
          <w:szCs w:val="24"/>
        </w:rPr>
      </w:pPr>
      <w:r w:rsidRPr="00CA6DC9">
        <w:rPr>
          <w:rFonts w:cs="Times New Roman"/>
          <w:b/>
          <w:szCs w:val="24"/>
        </w:rPr>
        <w:t>2</w:t>
      </w:r>
    </w:p>
    <w:p w:rsidR="00B00681" w:rsidRPr="00B00681" w:rsidRDefault="00B00681" w:rsidP="00CA6DC9">
      <w:pPr>
        <w:spacing w:line="480" w:lineRule="auto"/>
        <w:ind w:firstLine="720"/>
        <w:rPr>
          <w:rFonts w:cs="Times New Roman"/>
          <w:szCs w:val="24"/>
        </w:rPr>
      </w:pPr>
      <w:r w:rsidRPr="00B00681">
        <w:rPr>
          <w:rFonts w:cs="Times New Roman"/>
          <w:szCs w:val="24"/>
        </w:rPr>
        <w:t>World media systems fit into international communication because the global media study is the field of research at the worldwide level that focuses on the area, such as content, effects, and history of media internationally. The world media system often draws its content, objectives, theories, and philosophy from communication studies, political fields, cultural studies, feminist theories, among others (</w:t>
      </w:r>
      <w:proofErr w:type="spellStart"/>
      <w:r w:rsidRPr="00B00681">
        <w:rPr>
          <w:rFonts w:cs="Times New Roman"/>
          <w:szCs w:val="24"/>
        </w:rPr>
        <w:t>Hallin</w:t>
      </w:r>
      <w:proofErr w:type="spellEnd"/>
      <w:r w:rsidRPr="00B00681">
        <w:rPr>
          <w:rFonts w:cs="Times New Roman"/>
          <w:szCs w:val="24"/>
        </w:rPr>
        <w:t xml:space="preserve">, &amp; Mancini, 2011). Among all other sources, the political analysis and economical methods are pillars of communication development at the global level as well as an understanding of the current communication trends. In countries such as china, communication in political fields is regulated by the government while </w:t>
      </w:r>
      <w:r w:rsidR="00CA6DC9" w:rsidRPr="00B00681">
        <w:rPr>
          <w:rFonts w:cs="Times New Roman"/>
          <w:szCs w:val="24"/>
        </w:rPr>
        <w:lastRenderedPageBreak/>
        <w:t>communications, other sectors such as entertainment, are</w:t>
      </w:r>
      <w:r w:rsidRPr="00B00681">
        <w:rPr>
          <w:rFonts w:cs="Times New Roman"/>
          <w:szCs w:val="24"/>
        </w:rPr>
        <w:t xml:space="preserve"> less regulated. Each state has its own ecosystem media, which, if they are joined, they form a world media system.</w:t>
      </w:r>
    </w:p>
    <w:p w:rsidR="00B00681" w:rsidRPr="00CA6DC9" w:rsidRDefault="00B00681" w:rsidP="00B00681">
      <w:pPr>
        <w:spacing w:line="480" w:lineRule="auto"/>
        <w:jc w:val="center"/>
        <w:rPr>
          <w:rFonts w:cs="Times New Roman"/>
          <w:b/>
          <w:szCs w:val="24"/>
        </w:rPr>
      </w:pPr>
      <w:r w:rsidRPr="00CA6DC9">
        <w:rPr>
          <w:rFonts w:cs="Times New Roman"/>
          <w:b/>
          <w:szCs w:val="24"/>
        </w:rPr>
        <w:t>3</w:t>
      </w:r>
    </w:p>
    <w:p w:rsidR="00B00681" w:rsidRPr="00B00681" w:rsidRDefault="00B00681" w:rsidP="00CA6DC9">
      <w:pPr>
        <w:spacing w:line="480" w:lineRule="auto"/>
        <w:ind w:firstLine="720"/>
        <w:rPr>
          <w:rFonts w:cs="Times New Roman"/>
          <w:szCs w:val="24"/>
        </w:rPr>
      </w:pPr>
      <w:r w:rsidRPr="00B00681">
        <w:rPr>
          <w:rFonts w:cs="Times New Roman"/>
          <w:szCs w:val="24"/>
        </w:rPr>
        <w:t>According to Lee Anderson (2019), on the news and media based on Cuba-The Next Revolution, the main concern for the government is to maintain economic growth, especially in Cuba. The government sustained its good economic growth and facilitated growth in other sectors of the economy, which seems to drag. It will enhance this through maintaining free health services, education, ensure that there are policies guiding the food security, the population is able to access quality and enough food, enforcement of housing policy, and create more employment for its citizens. Apart from economic development, the other news making headlines in the United States, Cuba, and Ghana is about the innovation of new technology in communication media. For instance, people in the West were to receive a 3G telephone at the end of last year. However, a considerable part of the population was found not even to own a cell phone.</w:t>
      </w:r>
    </w:p>
    <w:p w:rsidR="00B00681" w:rsidRPr="00CA6DC9" w:rsidRDefault="00B00681" w:rsidP="00B00681">
      <w:pPr>
        <w:spacing w:line="480" w:lineRule="auto"/>
        <w:jc w:val="center"/>
        <w:rPr>
          <w:rFonts w:cs="Times New Roman"/>
          <w:b/>
          <w:szCs w:val="24"/>
        </w:rPr>
      </w:pPr>
      <w:r w:rsidRPr="00CA6DC9">
        <w:rPr>
          <w:rFonts w:cs="Times New Roman"/>
          <w:b/>
          <w:szCs w:val="24"/>
        </w:rPr>
        <w:t>4</w:t>
      </w:r>
    </w:p>
    <w:p w:rsidR="00B00681" w:rsidRPr="00B00681" w:rsidRDefault="00B00681" w:rsidP="00CA6DC9">
      <w:pPr>
        <w:spacing w:line="480" w:lineRule="auto"/>
        <w:ind w:firstLine="720"/>
        <w:rPr>
          <w:rFonts w:cs="Times New Roman"/>
          <w:szCs w:val="24"/>
        </w:rPr>
      </w:pPr>
      <w:r w:rsidRPr="00B00681">
        <w:rPr>
          <w:rFonts w:cs="Times New Roman"/>
          <w:szCs w:val="24"/>
        </w:rPr>
        <w:t xml:space="preserve">According to </w:t>
      </w:r>
      <w:proofErr w:type="spellStart"/>
      <w:r w:rsidRPr="00B00681">
        <w:rPr>
          <w:rFonts w:cs="Times New Roman"/>
          <w:szCs w:val="24"/>
        </w:rPr>
        <w:t>Chimamanda</w:t>
      </w:r>
      <w:proofErr w:type="spellEnd"/>
      <w:r w:rsidRPr="00B00681">
        <w:rPr>
          <w:rFonts w:cs="Times New Roman"/>
          <w:szCs w:val="24"/>
        </w:rPr>
        <w:t xml:space="preserve"> </w:t>
      </w:r>
      <w:proofErr w:type="spellStart"/>
      <w:r w:rsidRPr="00B00681">
        <w:rPr>
          <w:rFonts w:cs="Times New Roman"/>
          <w:szCs w:val="24"/>
        </w:rPr>
        <w:t>Ngozi's</w:t>
      </w:r>
      <w:proofErr w:type="spellEnd"/>
      <w:r w:rsidRPr="00B00681">
        <w:rPr>
          <w:rFonts w:cs="Times New Roman"/>
          <w:szCs w:val="24"/>
        </w:rPr>
        <w:t xml:space="preserve"> talk on TED, there are several lessons one can learn about media and journalism. She says limited knowledge and one-sided perspectives are all over the globe. When writing about media, it is wise to share the experience with the world. For instance, write about times when you forgot about a business schedule, how you have struggled with the past, among other skills. Moreover, shared human experience is a defective experience (</w:t>
      </w:r>
      <w:proofErr w:type="spellStart"/>
      <w:r w:rsidRPr="00B00681">
        <w:rPr>
          <w:rFonts w:cs="Times New Roman"/>
          <w:szCs w:val="24"/>
        </w:rPr>
        <w:t>Adichie</w:t>
      </w:r>
      <w:proofErr w:type="spellEnd"/>
      <w:r w:rsidRPr="00B00681">
        <w:rPr>
          <w:rFonts w:cs="Times New Roman"/>
          <w:szCs w:val="24"/>
        </w:rPr>
        <w:t>, 2009). Therefore, media in the global west act as lectures due to one-sided stories, whereas presenters should sometimes show vulnerability for the audience to view them as human narrator.</w:t>
      </w:r>
    </w:p>
    <w:p w:rsidR="00B00681" w:rsidRPr="00B00681" w:rsidRDefault="00B00681" w:rsidP="00CA6DC9">
      <w:pPr>
        <w:spacing w:line="480" w:lineRule="auto"/>
        <w:ind w:firstLine="720"/>
        <w:rPr>
          <w:rFonts w:cs="Times New Roman"/>
          <w:szCs w:val="24"/>
        </w:rPr>
      </w:pPr>
      <w:r w:rsidRPr="00B00681">
        <w:rPr>
          <w:rFonts w:cs="Times New Roman"/>
          <w:szCs w:val="24"/>
        </w:rPr>
        <w:lastRenderedPageBreak/>
        <w:t>Also, the media non-west countries tell the audience what they should do and how to do it by telling about other people and cultures. That is not the way to go about it. The presenter should adopt storytelling as a way to communicate with their audience. Personal experience stories, other short stories related to the topic or headline tend to share the core message better than stating the statistics and facts.</w:t>
      </w:r>
    </w:p>
    <w:p w:rsidR="00B00681" w:rsidRDefault="00B00681" w:rsidP="00CA6DC9">
      <w:pPr>
        <w:spacing w:line="480" w:lineRule="auto"/>
        <w:ind w:firstLine="720"/>
        <w:rPr>
          <w:rFonts w:cs="Times New Roman"/>
          <w:szCs w:val="24"/>
        </w:rPr>
      </w:pPr>
      <w:r w:rsidRPr="00B00681">
        <w:rPr>
          <w:rFonts w:cs="Times New Roman"/>
          <w:szCs w:val="24"/>
        </w:rPr>
        <w:t xml:space="preserve">Consequently, </w:t>
      </w:r>
      <w:proofErr w:type="spellStart"/>
      <w:r w:rsidRPr="00B00681">
        <w:rPr>
          <w:rFonts w:cs="Times New Roman"/>
          <w:szCs w:val="24"/>
        </w:rPr>
        <w:t>Chimamanda</w:t>
      </w:r>
      <w:proofErr w:type="spellEnd"/>
      <w:r w:rsidRPr="00B00681">
        <w:rPr>
          <w:rFonts w:cs="Times New Roman"/>
          <w:szCs w:val="24"/>
        </w:rPr>
        <w:t xml:space="preserve"> asks for a call of action strategy. In the TED talk, she used a quote of her that state, there is no single story of any place; when people realize this, </w:t>
      </w:r>
      <w:proofErr w:type="gramStart"/>
      <w:r w:rsidRPr="00B00681">
        <w:rPr>
          <w:rFonts w:cs="Times New Roman"/>
          <w:szCs w:val="24"/>
        </w:rPr>
        <w:t>they</w:t>
      </w:r>
      <w:proofErr w:type="gramEnd"/>
      <w:r w:rsidRPr="00B00681">
        <w:rPr>
          <w:rFonts w:cs="Times New Roman"/>
          <w:szCs w:val="24"/>
        </w:rPr>
        <w:t xml:space="preserve"> regain a kind of paradise (</w:t>
      </w:r>
      <w:proofErr w:type="spellStart"/>
      <w:r w:rsidRPr="00B00681">
        <w:rPr>
          <w:rFonts w:cs="Times New Roman"/>
          <w:szCs w:val="24"/>
        </w:rPr>
        <w:t>Adichie</w:t>
      </w:r>
      <w:proofErr w:type="spellEnd"/>
      <w:r w:rsidRPr="00B00681">
        <w:rPr>
          <w:rFonts w:cs="Times New Roman"/>
          <w:szCs w:val="24"/>
        </w:rPr>
        <w:t xml:space="preserve">, 2009). The quote </w:t>
      </w:r>
      <w:proofErr w:type="spellStart"/>
      <w:r w:rsidRPr="00B00681">
        <w:rPr>
          <w:rFonts w:cs="Times New Roman"/>
          <w:szCs w:val="24"/>
        </w:rPr>
        <w:t>its elf</w:t>
      </w:r>
      <w:proofErr w:type="spellEnd"/>
      <w:r w:rsidRPr="00B00681">
        <w:rPr>
          <w:rFonts w:cs="Times New Roman"/>
          <w:szCs w:val="24"/>
        </w:rPr>
        <w:t xml:space="preserve"> is tempting people to read her books or other related stories by other authors such as Chinua Achebe. The strategy is more effective than telling people to read this or that.</w:t>
      </w:r>
    </w:p>
    <w:p w:rsidR="00B00681" w:rsidRDefault="00B00681" w:rsidP="00B00681">
      <w:pPr>
        <w:spacing w:line="480" w:lineRule="auto"/>
        <w:rPr>
          <w:rFonts w:cs="Times New Roman"/>
          <w:szCs w:val="24"/>
        </w:rPr>
      </w:pPr>
    </w:p>
    <w:p w:rsidR="00B00681" w:rsidRDefault="00B00681" w:rsidP="00B00681">
      <w:pPr>
        <w:spacing w:line="480" w:lineRule="auto"/>
        <w:rPr>
          <w:rFonts w:cs="Times New Roman"/>
          <w:szCs w:val="24"/>
        </w:rPr>
      </w:pPr>
    </w:p>
    <w:p w:rsidR="00B00681" w:rsidRDefault="00B00681" w:rsidP="00B00681">
      <w:pPr>
        <w:spacing w:line="480" w:lineRule="auto"/>
        <w:rPr>
          <w:rFonts w:cs="Times New Roman"/>
          <w:szCs w:val="24"/>
        </w:rPr>
      </w:pPr>
    </w:p>
    <w:p w:rsidR="00B00681" w:rsidRDefault="00B00681" w:rsidP="00B00681">
      <w:pPr>
        <w:spacing w:line="480" w:lineRule="auto"/>
        <w:rPr>
          <w:rFonts w:cs="Times New Roman"/>
          <w:szCs w:val="24"/>
        </w:rPr>
      </w:pPr>
    </w:p>
    <w:p w:rsidR="00B00681" w:rsidRDefault="00B00681" w:rsidP="00B00681">
      <w:pPr>
        <w:spacing w:line="480" w:lineRule="auto"/>
        <w:rPr>
          <w:rFonts w:cs="Times New Roman"/>
          <w:szCs w:val="24"/>
        </w:rPr>
      </w:pPr>
    </w:p>
    <w:p w:rsidR="00B00681" w:rsidRDefault="00B00681" w:rsidP="00B00681">
      <w:pPr>
        <w:spacing w:line="480" w:lineRule="auto"/>
        <w:rPr>
          <w:rFonts w:cs="Times New Roman"/>
          <w:szCs w:val="24"/>
        </w:rPr>
      </w:pPr>
    </w:p>
    <w:p w:rsidR="00B00681" w:rsidRDefault="00B00681" w:rsidP="00B00681">
      <w:pPr>
        <w:spacing w:line="480" w:lineRule="auto"/>
        <w:rPr>
          <w:rFonts w:cs="Times New Roman"/>
          <w:szCs w:val="24"/>
        </w:rPr>
      </w:pPr>
    </w:p>
    <w:p w:rsidR="00B00681" w:rsidRDefault="00B00681" w:rsidP="00B00681">
      <w:pPr>
        <w:spacing w:line="480" w:lineRule="auto"/>
        <w:rPr>
          <w:rFonts w:cs="Times New Roman"/>
          <w:szCs w:val="24"/>
        </w:rPr>
      </w:pPr>
    </w:p>
    <w:p w:rsidR="00B00681" w:rsidRPr="00B00681" w:rsidRDefault="00B00681" w:rsidP="00B00681">
      <w:pPr>
        <w:spacing w:line="480" w:lineRule="auto"/>
        <w:rPr>
          <w:rFonts w:cs="Times New Roman"/>
          <w:szCs w:val="24"/>
        </w:rPr>
      </w:pPr>
      <w:bookmarkStart w:id="0" w:name="_GoBack"/>
      <w:bookmarkEnd w:id="0"/>
    </w:p>
    <w:p w:rsidR="005B6906" w:rsidRPr="00B00681" w:rsidRDefault="005B6906" w:rsidP="00B00681">
      <w:pPr>
        <w:spacing w:line="480" w:lineRule="auto"/>
        <w:jc w:val="center"/>
        <w:rPr>
          <w:rFonts w:cs="Times New Roman"/>
          <w:szCs w:val="24"/>
        </w:rPr>
      </w:pPr>
      <w:r w:rsidRPr="00B00681">
        <w:rPr>
          <w:rFonts w:cs="Times New Roman"/>
          <w:szCs w:val="24"/>
        </w:rPr>
        <w:lastRenderedPageBreak/>
        <w:t>References</w:t>
      </w:r>
    </w:p>
    <w:p w:rsidR="00B00681" w:rsidRPr="00B00681" w:rsidRDefault="00B00681" w:rsidP="00B00681">
      <w:pPr>
        <w:spacing w:line="480" w:lineRule="auto"/>
        <w:ind w:left="720" w:hanging="720"/>
        <w:rPr>
          <w:rFonts w:cs="Times New Roman"/>
          <w:color w:val="222222"/>
          <w:szCs w:val="24"/>
          <w:shd w:val="clear" w:color="auto" w:fill="FFFFFF"/>
        </w:rPr>
      </w:pPr>
      <w:proofErr w:type="spellStart"/>
      <w:r w:rsidRPr="00B00681">
        <w:rPr>
          <w:rFonts w:cs="Times New Roman"/>
          <w:color w:val="222222"/>
          <w:szCs w:val="24"/>
          <w:shd w:val="clear" w:color="auto" w:fill="FFFFFF"/>
        </w:rPr>
        <w:t>Adichie</w:t>
      </w:r>
      <w:proofErr w:type="spellEnd"/>
      <w:r w:rsidRPr="00B00681">
        <w:rPr>
          <w:rFonts w:cs="Times New Roman"/>
          <w:color w:val="222222"/>
          <w:szCs w:val="24"/>
          <w:shd w:val="clear" w:color="auto" w:fill="FFFFFF"/>
        </w:rPr>
        <w:t xml:space="preserve">, C. N. (2009). </w:t>
      </w:r>
      <w:proofErr w:type="gramStart"/>
      <w:r w:rsidRPr="00B00681">
        <w:rPr>
          <w:rFonts w:cs="Times New Roman"/>
          <w:color w:val="222222"/>
          <w:szCs w:val="24"/>
          <w:shd w:val="clear" w:color="auto" w:fill="FFFFFF"/>
        </w:rPr>
        <w:t>The danger of a single story.</w:t>
      </w:r>
      <w:proofErr w:type="gramEnd"/>
    </w:p>
    <w:p w:rsidR="00B00681" w:rsidRPr="00B00681" w:rsidRDefault="00B00681" w:rsidP="00B00681">
      <w:pPr>
        <w:spacing w:line="480" w:lineRule="auto"/>
        <w:ind w:left="720" w:hanging="720"/>
        <w:rPr>
          <w:rFonts w:cs="Times New Roman"/>
          <w:color w:val="222222"/>
          <w:szCs w:val="24"/>
          <w:shd w:val="clear" w:color="auto" w:fill="FFFFFF"/>
        </w:rPr>
      </w:pPr>
      <w:proofErr w:type="spellStart"/>
      <w:r w:rsidRPr="00B00681">
        <w:rPr>
          <w:rFonts w:cs="Times New Roman"/>
          <w:color w:val="222222"/>
          <w:szCs w:val="24"/>
          <w:shd w:val="clear" w:color="auto" w:fill="FFFFFF"/>
        </w:rPr>
        <w:t>Hallin</w:t>
      </w:r>
      <w:proofErr w:type="spellEnd"/>
      <w:r w:rsidRPr="00B00681">
        <w:rPr>
          <w:rFonts w:cs="Times New Roman"/>
          <w:color w:val="222222"/>
          <w:szCs w:val="24"/>
          <w:shd w:val="clear" w:color="auto" w:fill="FFFFFF"/>
        </w:rPr>
        <w:t>, D. C., &amp; Mancini, P. (Eds.). (2011). </w:t>
      </w:r>
      <w:r w:rsidRPr="00B00681">
        <w:rPr>
          <w:rFonts w:cs="Times New Roman"/>
          <w:i/>
          <w:iCs/>
          <w:color w:val="222222"/>
          <w:szCs w:val="24"/>
          <w:shd w:val="clear" w:color="auto" w:fill="FFFFFF"/>
        </w:rPr>
        <w:t>Comparing media systems beyond the Western world</w:t>
      </w:r>
      <w:r w:rsidRPr="00B00681">
        <w:rPr>
          <w:rFonts w:cs="Times New Roman"/>
          <w:color w:val="222222"/>
          <w:szCs w:val="24"/>
          <w:shd w:val="clear" w:color="auto" w:fill="FFFFFF"/>
        </w:rPr>
        <w:t xml:space="preserve">. </w:t>
      </w:r>
      <w:proofErr w:type="gramStart"/>
      <w:r w:rsidRPr="00B00681">
        <w:rPr>
          <w:rFonts w:cs="Times New Roman"/>
          <w:color w:val="222222"/>
          <w:szCs w:val="24"/>
          <w:shd w:val="clear" w:color="auto" w:fill="FFFFFF"/>
        </w:rPr>
        <w:t>Cambridge University Press.</w:t>
      </w:r>
      <w:proofErr w:type="gramEnd"/>
      <w:r w:rsidRPr="00B00681">
        <w:rPr>
          <w:rFonts w:cs="Times New Roman"/>
          <w:color w:val="222222"/>
          <w:szCs w:val="24"/>
          <w:shd w:val="clear" w:color="auto" w:fill="FFFFFF"/>
        </w:rPr>
        <w:t xml:space="preserve"> </w:t>
      </w:r>
    </w:p>
    <w:p w:rsidR="00B00681" w:rsidRPr="00B00681" w:rsidRDefault="00B00681" w:rsidP="00B00681">
      <w:pPr>
        <w:spacing w:line="480" w:lineRule="auto"/>
        <w:ind w:left="720" w:hanging="720"/>
        <w:rPr>
          <w:rFonts w:cs="Times New Roman"/>
          <w:color w:val="000000"/>
          <w:szCs w:val="24"/>
          <w:shd w:val="clear" w:color="auto" w:fill="FFFFFF"/>
        </w:rPr>
      </w:pPr>
      <w:r w:rsidRPr="00B00681">
        <w:rPr>
          <w:rFonts w:cs="Times New Roman"/>
          <w:color w:val="000000"/>
          <w:szCs w:val="24"/>
          <w:shd w:val="clear" w:color="auto" w:fill="FFFFFF"/>
        </w:rPr>
        <w:t xml:space="preserve">Lee Anderson, J. (2019). </w:t>
      </w:r>
      <w:proofErr w:type="gramStart"/>
      <w:r w:rsidRPr="00B00681">
        <w:rPr>
          <w:rFonts w:cs="Times New Roman"/>
          <w:color w:val="000000"/>
          <w:szCs w:val="24"/>
          <w:shd w:val="clear" w:color="auto" w:fill="FFFFFF"/>
        </w:rPr>
        <w:t>Opinion | Cuba’s Next Transformation.</w:t>
      </w:r>
      <w:proofErr w:type="gramEnd"/>
      <w:r w:rsidRPr="00B00681">
        <w:rPr>
          <w:rFonts w:cs="Times New Roman"/>
          <w:color w:val="000000"/>
          <w:szCs w:val="24"/>
          <w:shd w:val="clear" w:color="auto" w:fill="FFFFFF"/>
        </w:rPr>
        <w:t xml:space="preserve"> Retrieved 29 January 2020, from </w:t>
      </w:r>
      <w:hyperlink r:id="rId7" w:history="1">
        <w:r w:rsidRPr="00B00681">
          <w:rPr>
            <w:rStyle w:val="Hyperlink"/>
            <w:rFonts w:cs="Times New Roman"/>
            <w:szCs w:val="24"/>
            <w:shd w:val="clear" w:color="auto" w:fill="FFFFFF"/>
          </w:rPr>
          <w:t>https://www.nytimes.com/2019/01/05/opinion/sunday/cubas-next-transformation.html</w:t>
        </w:r>
      </w:hyperlink>
      <w:r w:rsidRPr="00B00681">
        <w:rPr>
          <w:rFonts w:cs="Times New Roman"/>
          <w:color w:val="000000"/>
          <w:szCs w:val="24"/>
          <w:shd w:val="clear" w:color="auto" w:fill="FFFFFF"/>
        </w:rPr>
        <w:t xml:space="preserve"> </w:t>
      </w:r>
    </w:p>
    <w:p w:rsidR="00B00681" w:rsidRPr="00B00681" w:rsidRDefault="00B00681" w:rsidP="00B00681">
      <w:pPr>
        <w:spacing w:line="480" w:lineRule="auto"/>
        <w:ind w:left="720" w:hanging="720"/>
        <w:rPr>
          <w:rFonts w:cs="Times New Roman"/>
          <w:color w:val="222222"/>
          <w:szCs w:val="24"/>
          <w:shd w:val="clear" w:color="auto" w:fill="FFFFFF"/>
        </w:rPr>
      </w:pPr>
      <w:r w:rsidRPr="00B00681">
        <w:rPr>
          <w:rFonts w:cs="Times New Roman"/>
          <w:color w:val="000000"/>
          <w:szCs w:val="24"/>
          <w:shd w:val="clear" w:color="auto" w:fill="FFFFFF"/>
        </w:rPr>
        <w:t xml:space="preserve">Stevenson, R. (1992). </w:t>
      </w:r>
      <w:proofErr w:type="gramStart"/>
      <w:r w:rsidRPr="00B00681">
        <w:rPr>
          <w:rFonts w:cs="Times New Roman"/>
          <w:color w:val="000000"/>
          <w:szCs w:val="24"/>
          <w:shd w:val="clear" w:color="auto" w:fill="FFFFFF"/>
        </w:rPr>
        <w:t>Defining International Communication as a Field.</w:t>
      </w:r>
      <w:proofErr w:type="gramEnd"/>
      <w:r w:rsidRPr="00B00681">
        <w:rPr>
          <w:rFonts w:cs="Times New Roman"/>
          <w:color w:val="000000"/>
          <w:szCs w:val="24"/>
          <w:shd w:val="clear" w:color="auto" w:fill="FFFFFF"/>
        </w:rPr>
        <w:t xml:space="preserve"> Retrieved 29 January 2020, from </w:t>
      </w:r>
      <w:hyperlink r:id="rId8" w:history="1">
        <w:r w:rsidRPr="00B00681">
          <w:rPr>
            <w:rStyle w:val="Hyperlink"/>
            <w:rFonts w:cs="Times New Roman"/>
            <w:szCs w:val="24"/>
            <w:shd w:val="clear" w:color="auto" w:fill="FFFFFF"/>
          </w:rPr>
          <w:t>https://journals.sagepub.com/doi/10.1177/107769909206900302</w:t>
        </w:r>
      </w:hyperlink>
      <w:r w:rsidRPr="00B00681">
        <w:rPr>
          <w:rFonts w:cs="Times New Roman"/>
          <w:color w:val="000000"/>
          <w:szCs w:val="24"/>
          <w:shd w:val="clear" w:color="auto" w:fill="FFFFFF"/>
        </w:rPr>
        <w:t xml:space="preserve"> </w:t>
      </w:r>
    </w:p>
    <w:p w:rsidR="005B6906" w:rsidRPr="00B00681" w:rsidRDefault="005B6906" w:rsidP="00B00681">
      <w:pPr>
        <w:spacing w:line="480" w:lineRule="auto"/>
        <w:rPr>
          <w:rFonts w:cs="Times New Roman"/>
          <w:szCs w:val="24"/>
        </w:rPr>
      </w:pPr>
    </w:p>
    <w:p w:rsidR="002A1429" w:rsidRPr="00B00681" w:rsidRDefault="002A1429" w:rsidP="00B00681">
      <w:pPr>
        <w:spacing w:line="480" w:lineRule="auto"/>
        <w:rPr>
          <w:rFonts w:cs="Times New Roman"/>
          <w:szCs w:val="24"/>
        </w:rPr>
      </w:pPr>
    </w:p>
    <w:p w:rsidR="00454168" w:rsidRPr="00B00681" w:rsidRDefault="00454168" w:rsidP="00B00681">
      <w:pPr>
        <w:spacing w:line="480" w:lineRule="auto"/>
        <w:rPr>
          <w:rFonts w:cs="Times New Roman"/>
          <w:szCs w:val="24"/>
        </w:rPr>
      </w:pPr>
    </w:p>
    <w:sectPr w:rsidR="00454168" w:rsidRPr="00B00681" w:rsidSect="00B0068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649" w:rsidRDefault="00973649" w:rsidP="00B00681">
      <w:pPr>
        <w:spacing w:after="0" w:line="240" w:lineRule="auto"/>
      </w:pPr>
      <w:r>
        <w:separator/>
      </w:r>
    </w:p>
  </w:endnote>
  <w:endnote w:type="continuationSeparator" w:id="0">
    <w:p w:rsidR="00973649" w:rsidRDefault="00973649" w:rsidP="00B00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649" w:rsidRDefault="00973649" w:rsidP="00B00681">
      <w:pPr>
        <w:spacing w:after="0" w:line="240" w:lineRule="auto"/>
      </w:pPr>
      <w:r>
        <w:separator/>
      </w:r>
    </w:p>
  </w:footnote>
  <w:footnote w:type="continuationSeparator" w:id="0">
    <w:p w:rsidR="00973649" w:rsidRDefault="00973649" w:rsidP="00B006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681" w:rsidRDefault="00B00681">
    <w:pPr>
      <w:pStyle w:val="Header"/>
      <w:jc w:val="right"/>
    </w:pPr>
    <w:r>
      <w:t xml:space="preserve">INTERNATIONAL COMMUNICATION                                                                                  </w:t>
    </w:r>
    <w:sdt>
      <w:sdtPr>
        <w:id w:val="3412082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A6DC9">
          <w:rPr>
            <w:noProof/>
          </w:rPr>
          <w:t>2</w:t>
        </w:r>
        <w:r>
          <w:rPr>
            <w:noProof/>
          </w:rPr>
          <w:fldChar w:fldCharType="end"/>
        </w:r>
      </w:sdtContent>
    </w:sdt>
  </w:p>
  <w:p w:rsidR="00B00681" w:rsidRDefault="00B006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681" w:rsidRDefault="00B00681">
    <w:pPr>
      <w:pStyle w:val="Header"/>
      <w:jc w:val="right"/>
    </w:pPr>
    <w:r>
      <w:t xml:space="preserve">Running head: INTERNATIONAL COMMUNICATION                                                   </w:t>
    </w:r>
    <w:sdt>
      <w:sdtPr>
        <w:id w:val="20784674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A6DC9">
          <w:rPr>
            <w:noProof/>
          </w:rPr>
          <w:t>1</w:t>
        </w:r>
        <w:r>
          <w:rPr>
            <w:noProof/>
          </w:rPr>
          <w:fldChar w:fldCharType="end"/>
        </w:r>
      </w:sdtContent>
    </w:sdt>
  </w:p>
  <w:p w:rsidR="00B00681" w:rsidRDefault="00B006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168"/>
    <w:rsid w:val="0025599B"/>
    <w:rsid w:val="002A1429"/>
    <w:rsid w:val="00454168"/>
    <w:rsid w:val="005B6906"/>
    <w:rsid w:val="005F4ADA"/>
    <w:rsid w:val="006F6981"/>
    <w:rsid w:val="00700396"/>
    <w:rsid w:val="007F64F3"/>
    <w:rsid w:val="00902464"/>
    <w:rsid w:val="00973649"/>
    <w:rsid w:val="00B00681"/>
    <w:rsid w:val="00C62511"/>
    <w:rsid w:val="00CA6DC9"/>
    <w:rsid w:val="00DA3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2511"/>
    <w:rPr>
      <w:color w:val="0000FF" w:themeColor="hyperlink"/>
      <w:u w:val="single"/>
    </w:rPr>
  </w:style>
  <w:style w:type="paragraph" w:styleId="Header">
    <w:name w:val="header"/>
    <w:basedOn w:val="Normal"/>
    <w:link w:val="HeaderChar"/>
    <w:uiPriority w:val="99"/>
    <w:unhideWhenUsed/>
    <w:rsid w:val="00B00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681"/>
  </w:style>
  <w:style w:type="paragraph" w:styleId="Footer">
    <w:name w:val="footer"/>
    <w:basedOn w:val="Normal"/>
    <w:link w:val="FooterChar"/>
    <w:uiPriority w:val="99"/>
    <w:unhideWhenUsed/>
    <w:rsid w:val="00B00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6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2511"/>
    <w:rPr>
      <w:color w:val="0000FF" w:themeColor="hyperlink"/>
      <w:u w:val="single"/>
    </w:rPr>
  </w:style>
  <w:style w:type="paragraph" w:styleId="Header">
    <w:name w:val="header"/>
    <w:basedOn w:val="Normal"/>
    <w:link w:val="HeaderChar"/>
    <w:uiPriority w:val="99"/>
    <w:unhideWhenUsed/>
    <w:rsid w:val="00B00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681"/>
  </w:style>
  <w:style w:type="paragraph" w:styleId="Footer">
    <w:name w:val="footer"/>
    <w:basedOn w:val="Normal"/>
    <w:link w:val="FooterChar"/>
    <w:uiPriority w:val="99"/>
    <w:unhideWhenUsed/>
    <w:rsid w:val="00B00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10.1177/107769909206900302" TargetMode="External"/><Relationship Id="rId3" Type="http://schemas.openxmlformats.org/officeDocument/2006/relationships/settings" Target="settings.xml"/><Relationship Id="rId7" Type="http://schemas.openxmlformats.org/officeDocument/2006/relationships/hyperlink" Target="https://www.nytimes.com/2019/01/05/opinion/sunday/cubas-next-transformation.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5</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2020-01-29T03:30:00Z</dcterms:created>
  <dcterms:modified xsi:type="dcterms:W3CDTF">2020-01-29T05:07:00Z</dcterms:modified>
</cp:coreProperties>
</file>